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44" w:rsidRPr="005448AA" w:rsidRDefault="00CE1D44" w:rsidP="008D30C2">
      <w:pPr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448AA">
        <w:rPr>
          <w:rFonts w:ascii="Arial" w:eastAsia="Times New Roman" w:hAnsi="Arial" w:cs="Arial"/>
          <w:b/>
          <w:sz w:val="28"/>
          <w:szCs w:val="28"/>
          <w:lang w:eastAsia="ru-RU"/>
        </w:rPr>
        <w:t>Комплексный курс по проверке контрагентов:</w:t>
      </w:r>
    </w:p>
    <w:p w:rsidR="005448AA" w:rsidRDefault="005448AA" w:rsidP="005448A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Тема 1: «</w:t>
      </w:r>
      <w:r w:rsidRPr="00544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Информационно-аналитическая работа службы экономической безопасности</w:t>
      </w:r>
      <w:r w:rsidRPr="005448A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5448AA" w:rsidRPr="005448AA" w:rsidRDefault="005448AA" w:rsidP="005448A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448AA" w:rsidRPr="005448AA" w:rsidRDefault="005448AA" w:rsidP="005448A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Понятие информационно-аналитической работы и роль в обеспечении экономической безопасности предприятия;</w:t>
      </w:r>
    </w:p>
    <w:p w:rsidR="005448AA" w:rsidRPr="005448AA" w:rsidRDefault="005448AA" w:rsidP="005448A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Цели и задачи информационно-аналитической работы;</w:t>
      </w:r>
    </w:p>
    <w:p w:rsidR="005448AA" w:rsidRPr="005448AA" w:rsidRDefault="005448AA" w:rsidP="005448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Принципы осуществления информационно-аналитической работы;</w:t>
      </w:r>
    </w:p>
    <w:p w:rsidR="005448AA" w:rsidRPr="005448AA" w:rsidRDefault="005448AA" w:rsidP="005448A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Объекты и субъекты информационно-аналитической работы и их характеристики;</w:t>
      </w:r>
    </w:p>
    <w:p w:rsidR="005448AA" w:rsidRPr="005448AA" w:rsidRDefault="005448AA" w:rsidP="005448A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Нормативно-правовая база и правовые ограничения ведения информационно-аналитической работы.</w:t>
      </w:r>
    </w:p>
    <w:p w:rsidR="005448AA" w:rsidRPr="005448AA" w:rsidRDefault="005448AA" w:rsidP="005448A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Организационное, методологическое и технологическое обеспечение информационно-аналитической работы;</w:t>
      </w:r>
    </w:p>
    <w:p w:rsidR="005448AA" w:rsidRPr="005448AA" w:rsidRDefault="005448AA" w:rsidP="005448A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Понятия и характеристики источников информации;</w:t>
      </w:r>
    </w:p>
    <w:p w:rsidR="005448AA" w:rsidRPr="005448AA" w:rsidRDefault="005448AA" w:rsidP="005448A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Алгоритм информационно-аналитической работы и характеристика его этапов;</w:t>
      </w:r>
    </w:p>
    <w:p w:rsidR="005448AA" w:rsidRPr="005448AA" w:rsidRDefault="005448AA" w:rsidP="005448A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outlineLvl w:val="2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Основные методы осуществления информационно-аналитической работы.</w:t>
      </w:r>
    </w:p>
    <w:p w:rsidR="005448AA" w:rsidRPr="005448AA" w:rsidRDefault="005448AA" w:rsidP="00544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448AA" w:rsidRPr="005448AA" w:rsidRDefault="005448AA" w:rsidP="0054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2: «Методы выявления ненадежных контрагентов с использованием различных источников информации. Использование передовых технологий и подходов к формированию типовых матриц проверок контрагентов»</w:t>
      </w:r>
    </w:p>
    <w:p w:rsidR="005448AA" w:rsidRPr="005448AA" w:rsidRDefault="005448AA" w:rsidP="0054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получения информации о контрагенте из внешних открытых источников. Классификация информации о партнере и контрагенте.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получения сведений из средств массовой информации. Возможности использования детективных агентств.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Специализированные ресурсы с базами данных по отраслям бизнеса и территориям. Возможность получения информации из баз данных.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Официальные сайты государственных органов и представленные на них информационные ресурсы. Принципы получения официальной информации из государственных органов и регистрационных организаций.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Алгоритм определения надежности партнеров – юридических и физических лиц. Применение метода </w:t>
      </w:r>
      <w:proofErr w:type="spellStart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Due</w:t>
      </w:r>
      <w:proofErr w:type="spellEnd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Diligence</w:t>
      </w:r>
      <w:proofErr w:type="spellEnd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анализе исследуемого партнера.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учредительных документов Компании с позиции безопасности. Анализ атрибутов компании и фирменного стиля компании.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возможных кризисных ситуаций в деятельности Компании на основе статистических методов, использующих информацию относительно ее деятельности. Применение на практике эмпирического закона больших чисел.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матрицы действий по проверке компании в зависимости от суммы сделки, предоплате и иных условий. Работа с матрицей проверок контрагентов.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безопасности коммерческих предложений и договоров с позиции изучения инициаторов проекта, их интересов и деловой репутации. Поведенческие и психологические аспекты при выявлении ненадежного партнера.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 эффективности подразделения безопасности при проведении проверок партнеров. Планирование деятельности и отчетность руководителей безопасности.</w:t>
      </w:r>
    </w:p>
    <w:p w:rsidR="005448AA" w:rsidRPr="005448AA" w:rsidRDefault="005448AA" w:rsidP="005448A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Обзор автоматизированных информационных систем, применяемых на рынке (возможности, интерфейс, работа по сценариям, алгоритмы и т.д.). Использование систем для повышения эффективности проверок контрагентов.</w:t>
      </w:r>
    </w:p>
    <w:p w:rsidR="005448AA" w:rsidRPr="005448AA" w:rsidRDefault="005448AA" w:rsidP="0054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448AA" w:rsidRDefault="005448AA" w:rsidP="005448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3: «Организационные и юридические методы работы с недобросовестными партнерами. Досудебная работа с должниками и проявление «должной осмотрительности»</w:t>
      </w:r>
    </w:p>
    <w:p w:rsidR="005448AA" w:rsidRPr="005448AA" w:rsidRDefault="005448AA" w:rsidP="00544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48AA" w:rsidRPr="005448AA" w:rsidRDefault="005448AA" w:rsidP="005448A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  пути   образования   задолженностей   в   российской   деловой   практике. Причины возникновения «проблемной» ДЗ. Управление рисками и профилактика возникновения «проблемной» ДЗ.</w:t>
      </w:r>
    </w:p>
    <w:p w:rsidR="005448AA" w:rsidRPr="005448AA" w:rsidRDefault="005448AA" w:rsidP="005448A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бизнес-процессов: «продажи» и «закупки» в целях минимизации риска задолженностей. Персонал предприятия </w:t>
      </w:r>
      <w:proofErr w:type="gramStart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 источник</w:t>
      </w:r>
      <w:proofErr w:type="gramEnd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риска «невозвратной» ДЗ. Вопросы учета налоговой составляющей при принятии управленческого решения по дебиторам. Пример отчета о финансовой проверке (по методике </w:t>
      </w:r>
      <w:proofErr w:type="spellStart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Due</w:t>
      </w:r>
      <w:proofErr w:type="spellEnd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Diligence</w:t>
      </w:r>
      <w:proofErr w:type="spellEnd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5448AA" w:rsidRPr="005448AA" w:rsidRDefault="005448AA" w:rsidP="005448A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Отличительные особенности «мёртвых» задолженностей.  Расчет соотношения цены долга и цены усилий по его погашению. Продажа долга.</w:t>
      </w:r>
    </w:p>
    <w:p w:rsidR="005448AA" w:rsidRPr="005448AA" w:rsidRDefault="005448AA" w:rsidP="005448A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Психологические аспекты (манипуляции) при работе с должниками. Конфликт интересов между кредитором и дебитором. Организация работы в конфликтных ситуациях.</w:t>
      </w:r>
    </w:p>
    <w:p w:rsidR="005448AA" w:rsidRPr="005448AA" w:rsidRDefault="005448AA" w:rsidP="005448A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Современные методы взыскания долгов. Полномочия, задачи и функции коммерческой и финансовой дирекций, юристов и дирекции </w:t>
      </w:r>
      <w:proofErr w:type="gramStart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 безопасности</w:t>
      </w:r>
      <w:proofErr w:type="gramEnd"/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возврату дебиторской задолженности.</w:t>
      </w:r>
    </w:p>
    <w:p w:rsidR="005448AA" w:rsidRPr="005448AA" w:rsidRDefault="005448AA" w:rsidP="005448A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распределение «ролей» подразделений Компании по возврату ДЗ. Досудебные и судебные аспекты возврата ДЗ. Обзор судебной практики и статистики по возврату ДЗ и по «должной осмотрительности». Правильная позиция и поведение в суде.</w:t>
      </w:r>
    </w:p>
    <w:p w:rsidR="00C645FE" w:rsidRDefault="00C645FE" w:rsidP="005448AA">
      <w:pPr>
        <w:spacing w:before="120" w:line="240" w:lineRule="auto"/>
      </w:pPr>
    </w:p>
    <w:sectPr w:rsidR="00C645FE" w:rsidSect="008D30C2">
      <w:headerReference w:type="default" r:id="rId7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FB" w:rsidRDefault="00DC60FB" w:rsidP="009A550A">
      <w:pPr>
        <w:spacing w:after="0" w:line="240" w:lineRule="auto"/>
      </w:pPr>
      <w:r>
        <w:separator/>
      </w:r>
    </w:p>
  </w:endnote>
  <w:endnote w:type="continuationSeparator" w:id="0">
    <w:p w:rsidR="00DC60FB" w:rsidRDefault="00DC60FB" w:rsidP="009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FB" w:rsidRDefault="00DC60FB" w:rsidP="009A550A">
      <w:pPr>
        <w:spacing w:after="0" w:line="240" w:lineRule="auto"/>
      </w:pPr>
      <w:r>
        <w:separator/>
      </w:r>
    </w:p>
  </w:footnote>
  <w:footnote w:type="continuationSeparator" w:id="0">
    <w:p w:rsidR="00DC60FB" w:rsidRDefault="00DC60FB" w:rsidP="009A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0A" w:rsidRDefault="005448AA" w:rsidP="005448AA">
    <w:pPr>
      <w:pStyle w:val="a3"/>
      <w:jc w:val="center"/>
    </w:pPr>
    <w:r w:rsidRPr="005448AA">
      <w:drawing>
        <wp:inline distT="0" distB="0" distL="0" distR="0">
          <wp:extent cx="1232898" cy="469854"/>
          <wp:effectExtent l="0" t="0" r="571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08" cy="489065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E30"/>
    <w:multiLevelType w:val="multilevel"/>
    <w:tmpl w:val="F37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1782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2" w15:restartNumberingAfterBreak="0">
    <w:nsid w:val="079A4701"/>
    <w:multiLevelType w:val="hybridMultilevel"/>
    <w:tmpl w:val="6FC415C6"/>
    <w:lvl w:ilvl="0" w:tplc="27BCCB8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23928"/>
    <w:multiLevelType w:val="hybridMultilevel"/>
    <w:tmpl w:val="7C1CA6BA"/>
    <w:lvl w:ilvl="0" w:tplc="27BCCB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124"/>
    <w:multiLevelType w:val="hybridMultilevel"/>
    <w:tmpl w:val="495C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3FE5"/>
    <w:multiLevelType w:val="hybridMultilevel"/>
    <w:tmpl w:val="F32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774"/>
    <w:multiLevelType w:val="multilevel"/>
    <w:tmpl w:val="3B2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D59F7"/>
    <w:multiLevelType w:val="hybridMultilevel"/>
    <w:tmpl w:val="334C6E28"/>
    <w:lvl w:ilvl="0" w:tplc="27BCCB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A14B7"/>
    <w:multiLevelType w:val="hybridMultilevel"/>
    <w:tmpl w:val="EA1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0D2F"/>
    <w:multiLevelType w:val="multilevel"/>
    <w:tmpl w:val="C78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A1F85"/>
    <w:multiLevelType w:val="hybridMultilevel"/>
    <w:tmpl w:val="F7DA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2303"/>
    <w:multiLevelType w:val="hybridMultilevel"/>
    <w:tmpl w:val="E06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5E05"/>
    <w:multiLevelType w:val="multilevel"/>
    <w:tmpl w:val="7B76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27E4A"/>
    <w:multiLevelType w:val="hybridMultilevel"/>
    <w:tmpl w:val="62F6F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0123C"/>
    <w:multiLevelType w:val="multilevel"/>
    <w:tmpl w:val="624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DB56C5"/>
    <w:multiLevelType w:val="hybridMultilevel"/>
    <w:tmpl w:val="0BF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633A7"/>
    <w:multiLevelType w:val="multilevel"/>
    <w:tmpl w:val="B830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A44DB"/>
    <w:multiLevelType w:val="multilevel"/>
    <w:tmpl w:val="9BB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066ED5"/>
    <w:multiLevelType w:val="multilevel"/>
    <w:tmpl w:val="490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7B41B2"/>
    <w:multiLevelType w:val="multilevel"/>
    <w:tmpl w:val="1B8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902CB9"/>
    <w:multiLevelType w:val="multilevel"/>
    <w:tmpl w:val="002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55901"/>
    <w:multiLevelType w:val="multilevel"/>
    <w:tmpl w:val="8BC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50A2F"/>
    <w:multiLevelType w:val="hybridMultilevel"/>
    <w:tmpl w:val="7032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2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12"/>
  </w:num>
  <w:num w:numId="16">
    <w:abstractNumId w:val="6"/>
  </w:num>
  <w:num w:numId="17">
    <w:abstractNumId w:val="19"/>
  </w:num>
  <w:num w:numId="18">
    <w:abstractNumId w:val="16"/>
  </w:num>
  <w:num w:numId="19">
    <w:abstractNumId w:val="9"/>
  </w:num>
  <w:num w:numId="20">
    <w:abstractNumId w:val="0"/>
  </w:num>
  <w:num w:numId="21">
    <w:abstractNumId w:val="1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A"/>
    <w:rsid w:val="00236BFA"/>
    <w:rsid w:val="002D156B"/>
    <w:rsid w:val="002E7FEA"/>
    <w:rsid w:val="002F6CBF"/>
    <w:rsid w:val="00313CA8"/>
    <w:rsid w:val="003C7717"/>
    <w:rsid w:val="005448AA"/>
    <w:rsid w:val="0057656C"/>
    <w:rsid w:val="00596767"/>
    <w:rsid w:val="005E2D30"/>
    <w:rsid w:val="0067234F"/>
    <w:rsid w:val="00706322"/>
    <w:rsid w:val="00886A28"/>
    <w:rsid w:val="008A6D87"/>
    <w:rsid w:val="008D30C2"/>
    <w:rsid w:val="009A550A"/>
    <w:rsid w:val="00A05793"/>
    <w:rsid w:val="00AF429C"/>
    <w:rsid w:val="00B1241E"/>
    <w:rsid w:val="00C645FE"/>
    <w:rsid w:val="00C907C8"/>
    <w:rsid w:val="00CB1098"/>
    <w:rsid w:val="00CE1D44"/>
    <w:rsid w:val="00DC60FB"/>
    <w:rsid w:val="00E00AED"/>
    <w:rsid w:val="00F558AA"/>
    <w:rsid w:val="00F82409"/>
    <w:rsid w:val="00FA0D0D"/>
    <w:rsid w:val="00FA2876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FEE8B-179D-4474-871D-D41FAF9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50A"/>
  </w:style>
  <w:style w:type="paragraph" w:styleId="a5">
    <w:name w:val="footer"/>
    <w:basedOn w:val="a"/>
    <w:link w:val="a6"/>
    <w:uiPriority w:val="99"/>
    <w:unhideWhenUsed/>
    <w:rsid w:val="009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50A"/>
  </w:style>
  <w:style w:type="paragraph" w:styleId="a7">
    <w:name w:val="Balloon Text"/>
    <w:basedOn w:val="a"/>
    <w:link w:val="a8"/>
    <w:uiPriority w:val="99"/>
    <w:semiHidden/>
    <w:unhideWhenUsed/>
    <w:rsid w:val="009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50A"/>
    <w:rPr>
      <w:rFonts w:ascii="Tahoma" w:hAnsi="Tahoma" w:cs="Tahoma"/>
      <w:sz w:val="16"/>
      <w:szCs w:val="16"/>
    </w:rPr>
  </w:style>
  <w:style w:type="character" w:styleId="a9">
    <w:name w:val="Hyperlink"/>
    <w:rsid w:val="00596767"/>
    <w:rPr>
      <w:color w:val="0000FF"/>
      <w:u w:val="single"/>
    </w:rPr>
  </w:style>
  <w:style w:type="paragraph" w:styleId="aa">
    <w:name w:val="Plain Text"/>
    <w:basedOn w:val="a"/>
    <w:link w:val="ab"/>
    <w:rsid w:val="00C645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645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645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8D30C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E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3777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2</cp:revision>
  <dcterms:created xsi:type="dcterms:W3CDTF">2020-03-14T07:49:00Z</dcterms:created>
  <dcterms:modified xsi:type="dcterms:W3CDTF">2020-03-14T07:49:00Z</dcterms:modified>
</cp:coreProperties>
</file>